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29E" w:rsidRPr="0032329E" w:rsidRDefault="0032329E" w:rsidP="0032329E">
      <w:pPr>
        <w:ind w:left="-567" w:right="-568"/>
        <w:jc w:val="center"/>
        <w:rPr>
          <w:b/>
          <w:u w:val="single"/>
        </w:rPr>
      </w:pPr>
      <w:r w:rsidRPr="0032329E">
        <w:rPr>
          <w:b/>
          <w:u w:val="single"/>
        </w:rPr>
        <w:t xml:space="preserve">CONSULTA PÚBLICA </w:t>
      </w:r>
      <w:r>
        <w:rPr>
          <w:b/>
          <w:u w:val="single"/>
        </w:rPr>
        <w:t xml:space="preserve">UIT </w:t>
      </w:r>
      <w:r w:rsidRPr="0032329E">
        <w:rPr>
          <w:b/>
          <w:u w:val="single"/>
        </w:rPr>
        <w:t>SOBRE OTT’S</w:t>
      </w:r>
    </w:p>
    <w:p w:rsidR="0032329E" w:rsidRDefault="0032329E" w:rsidP="0032329E">
      <w:pPr>
        <w:ind w:left="-567" w:right="-568"/>
      </w:pPr>
    </w:p>
    <w:p w:rsidR="0032329E" w:rsidRPr="00C202FD" w:rsidRDefault="0032329E" w:rsidP="0032329E">
      <w:pPr>
        <w:ind w:left="-567" w:right="-568"/>
        <w:rPr>
          <w:b/>
        </w:rPr>
      </w:pPr>
      <w:r w:rsidRPr="00C202FD">
        <w:rPr>
          <w:b/>
        </w:rPr>
        <w:t>1. Quais são as oportunidades e implicações associadas as OTT?</w:t>
      </w:r>
    </w:p>
    <w:p w:rsidR="0032329E" w:rsidRDefault="00352F05" w:rsidP="0032329E">
      <w:pPr>
        <w:ind w:left="-567" w:right="-568"/>
        <w:rPr>
          <w:lang w:val="en-US"/>
        </w:rPr>
      </w:pPr>
      <w:r w:rsidRPr="00352F05">
        <w:rPr>
          <w:lang w:val="en-US"/>
        </w:rPr>
        <w:t xml:space="preserve">R- </w:t>
      </w:r>
      <w:r w:rsidR="0032329E" w:rsidRPr="00352F05">
        <w:rPr>
          <w:lang w:val="en-US"/>
        </w:rPr>
        <w:t xml:space="preserve">Sinditelebrasil is a </w:t>
      </w:r>
      <w:r w:rsidR="0070685E" w:rsidRPr="00352F05">
        <w:rPr>
          <w:lang w:val="en-US"/>
        </w:rPr>
        <w:t>private entity</w:t>
      </w:r>
      <w:r w:rsidR="0032329E" w:rsidRPr="00352F05">
        <w:rPr>
          <w:lang w:val="en-US"/>
        </w:rPr>
        <w:t xml:space="preserve"> which represents the major</w:t>
      </w:r>
      <w:r w:rsidRPr="00352F05">
        <w:rPr>
          <w:lang w:val="en-US"/>
        </w:rPr>
        <w:t>s</w:t>
      </w:r>
      <w:r>
        <w:rPr>
          <w:lang w:val="en-US"/>
        </w:rPr>
        <w:t xml:space="preserve"> T</w:t>
      </w:r>
      <w:r w:rsidR="0032329E" w:rsidRPr="00352F05">
        <w:rPr>
          <w:lang w:val="en-US"/>
        </w:rPr>
        <w:t>elecom</w:t>
      </w:r>
      <w:r>
        <w:rPr>
          <w:lang w:val="en-US"/>
        </w:rPr>
        <w:t>munication Br</w:t>
      </w:r>
      <w:r w:rsidR="0032329E" w:rsidRPr="00352F05">
        <w:rPr>
          <w:lang w:val="en-US"/>
        </w:rPr>
        <w:t>azilian companies.</w:t>
      </w:r>
    </w:p>
    <w:p w:rsidR="00322043" w:rsidRDefault="00BA4EA5" w:rsidP="00FC0DD4">
      <w:pPr>
        <w:ind w:left="-567" w:right="-568"/>
        <w:jc w:val="both"/>
        <w:rPr>
          <w:lang w:val="en-US"/>
        </w:rPr>
      </w:pPr>
      <w:r w:rsidRPr="00BA4EA5">
        <w:rPr>
          <w:lang w:val="en-US"/>
        </w:rPr>
        <w:t xml:space="preserve">We would like to emphasize that this public consultation should differentiate two types of online </w:t>
      </w:r>
      <w:r w:rsidR="009E3EF4">
        <w:rPr>
          <w:lang w:val="en-US"/>
        </w:rPr>
        <w:t xml:space="preserve">Internet </w:t>
      </w:r>
      <w:r w:rsidRPr="00BA4EA5">
        <w:rPr>
          <w:lang w:val="en-US"/>
        </w:rPr>
        <w:t>services that are</w:t>
      </w:r>
      <w:r w:rsidR="00322043">
        <w:rPr>
          <w:lang w:val="en-US"/>
        </w:rPr>
        <w:t xml:space="preserve"> currently </w:t>
      </w:r>
      <w:r w:rsidRPr="00BA4EA5">
        <w:rPr>
          <w:lang w:val="en-US"/>
        </w:rPr>
        <w:t xml:space="preserve">being offered to </w:t>
      </w:r>
      <w:r w:rsidR="00FC0DD4">
        <w:rPr>
          <w:lang w:val="en-US"/>
        </w:rPr>
        <w:t xml:space="preserve">users. </w:t>
      </w:r>
      <w:r w:rsidR="00832D9C">
        <w:rPr>
          <w:lang w:val="en-US"/>
        </w:rPr>
        <w:t xml:space="preserve"> They should be t</w:t>
      </w:r>
      <w:r w:rsidRPr="00BA4EA5">
        <w:rPr>
          <w:lang w:val="en-US"/>
        </w:rPr>
        <w:t xml:space="preserve">reated </w:t>
      </w:r>
      <w:r w:rsidR="00FC0DD4" w:rsidRPr="00FC0DD4">
        <w:rPr>
          <w:lang w:val="en-US"/>
        </w:rPr>
        <w:t>differently</w:t>
      </w:r>
      <w:r w:rsidR="00322043">
        <w:rPr>
          <w:lang w:val="en-US"/>
        </w:rPr>
        <w:t xml:space="preserve"> </w:t>
      </w:r>
      <w:r w:rsidR="005D56DF">
        <w:rPr>
          <w:lang w:val="en-US"/>
        </w:rPr>
        <w:t>in terms of regulation, tax and consumers rights.</w:t>
      </w:r>
    </w:p>
    <w:p w:rsidR="00B5723F" w:rsidRDefault="00E507A2" w:rsidP="00322043">
      <w:pPr>
        <w:ind w:left="-567" w:right="-568"/>
        <w:jc w:val="both"/>
        <w:rPr>
          <w:lang w:val="en-US"/>
        </w:rPr>
      </w:pPr>
      <w:r>
        <w:rPr>
          <w:lang w:val="en-US"/>
        </w:rPr>
        <w:t xml:space="preserve">On one side </w:t>
      </w:r>
      <w:r w:rsidR="004F3829">
        <w:rPr>
          <w:lang w:val="en-US"/>
        </w:rPr>
        <w:t xml:space="preserve">stand those </w:t>
      </w:r>
      <w:r w:rsidR="008A38C2">
        <w:rPr>
          <w:lang w:val="en-US"/>
        </w:rPr>
        <w:t xml:space="preserve">that </w:t>
      </w:r>
      <w:r w:rsidR="00005E2E">
        <w:rPr>
          <w:lang w:val="en-US"/>
        </w:rPr>
        <w:t xml:space="preserve">can be </w:t>
      </w:r>
      <w:r w:rsidR="00BA4EA5" w:rsidRPr="00BA4EA5">
        <w:rPr>
          <w:lang w:val="en-US"/>
        </w:rPr>
        <w:t xml:space="preserve">confused with the telecommunication services that supports them. In this </w:t>
      </w:r>
      <w:r w:rsidRPr="00BA4EA5">
        <w:rPr>
          <w:lang w:val="en-US"/>
        </w:rPr>
        <w:t>context,</w:t>
      </w:r>
      <w:r w:rsidR="00BA4EA5" w:rsidRPr="00BA4EA5">
        <w:rPr>
          <w:lang w:val="en-US"/>
        </w:rPr>
        <w:t xml:space="preserve"> it is important to </w:t>
      </w:r>
      <w:r w:rsidR="008A38C2">
        <w:rPr>
          <w:lang w:val="en-US"/>
        </w:rPr>
        <w:t xml:space="preserve">recognize </w:t>
      </w:r>
      <w:r w:rsidR="00BA4EA5" w:rsidRPr="00BA4EA5">
        <w:rPr>
          <w:lang w:val="en-US"/>
        </w:rPr>
        <w:t>that one service merges with another when</w:t>
      </w:r>
      <w:r w:rsidR="004F696F">
        <w:rPr>
          <w:lang w:val="en-US"/>
        </w:rPr>
        <w:t xml:space="preserve">: (i) </w:t>
      </w:r>
      <w:r w:rsidR="00BA4EA5" w:rsidRPr="00BA4EA5">
        <w:rPr>
          <w:lang w:val="en-US"/>
        </w:rPr>
        <w:t>providing equal or si</w:t>
      </w:r>
      <w:r w:rsidR="002F150C">
        <w:rPr>
          <w:lang w:val="en-US"/>
        </w:rPr>
        <w:t>milar utilities to the consumer or</w:t>
      </w:r>
      <w:r w:rsidR="004F696F">
        <w:rPr>
          <w:lang w:val="en-US"/>
        </w:rPr>
        <w:t xml:space="preserve"> (ii) </w:t>
      </w:r>
      <w:r w:rsidR="00BA4EA5" w:rsidRPr="00BA4EA5">
        <w:rPr>
          <w:lang w:val="en-US"/>
        </w:rPr>
        <w:t xml:space="preserve">the perception of the consumer </w:t>
      </w:r>
      <w:r w:rsidR="002F150C">
        <w:rPr>
          <w:lang w:val="en-US"/>
        </w:rPr>
        <w:t xml:space="preserve">is the same about both services </w:t>
      </w:r>
      <w:r w:rsidR="00557EE6">
        <w:rPr>
          <w:lang w:val="en-US"/>
        </w:rPr>
        <w:t xml:space="preserve">or </w:t>
      </w:r>
      <w:r w:rsidR="005E6C1B">
        <w:rPr>
          <w:lang w:val="en-US"/>
        </w:rPr>
        <w:t xml:space="preserve">(iii) </w:t>
      </w:r>
      <w:r w:rsidR="002F150C">
        <w:rPr>
          <w:lang w:val="en-US"/>
        </w:rPr>
        <w:t xml:space="preserve">there is a demand replacement </w:t>
      </w:r>
      <w:r w:rsidR="00BA4EA5" w:rsidRPr="00BA4EA5">
        <w:rPr>
          <w:lang w:val="en-US"/>
        </w:rPr>
        <w:t xml:space="preserve">for each other and </w:t>
      </w:r>
      <w:r w:rsidR="005E6C1B">
        <w:rPr>
          <w:lang w:val="en-US"/>
        </w:rPr>
        <w:t xml:space="preserve">(iv) </w:t>
      </w:r>
      <w:r w:rsidR="00BA4EA5" w:rsidRPr="00BA4EA5">
        <w:rPr>
          <w:lang w:val="en-US"/>
        </w:rPr>
        <w:t xml:space="preserve">there is </w:t>
      </w:r>
      <w:r w:rsidR="00B5723F">
        <w:rPr>
          <w:lang w:val="en-US"/>
        </w:rPr>
        <w:t xml:space="preserve">a </w:t>
      </w:r>
      <w:r w:rsidR="00BA4EA5" w:rsidRPr="00BA4EA5">
        <w:rPr>
          <w:lang w:val="en-US"/>
        </w:rPr>
        <w:t>competitive pressure between the services, from the perspective of the user.</w:t>
      </w:r>
      <w:r w:rsidR="00F71993">
        <w:rPr>
          <w:lang w:val="en-US"/>
        </w:rPr>
        <w:t xml:space="preserve"> T</w:t>
      </w:r>
      <w:r w:rsidR="005D6956">
        <w:rPr>
          <w:lang w:val="en-US"/>
        </w:rPr>
        <w:t xml:space="preserve">his category refers to applications and services delivered over </w:t>
      </w:r>
      <w:r w:rsidR="00F71993">
        <w:rPr>
          <w:lang w:val="en-US"/>
        </w:rPr>
        <w:t>telecommunications</w:t>
      </w:r>
      <w:r w:rsidR="005D6956">
        <w:rPr>
          <w:lang w:val="en-US"/>
        </w:rPr>
        <w:t xml:space="preserve"> </w:t>
      </w:r>
      <w:r w:rsidR="00F71993">
        <w:rPr>
          <w:lang w:val="en-US"/>
        </w:rPr>
        <w:t>networks</w:t>
      </w:r>
      <w:r w:rsidR="005D6956">
        <w:rPr>
          <w:lang w:val="en-US"/>
        </w:rPr>
        <w:t xml:space="preserve"> </w:t>
      </w:r>
      <w:r w:rsidR="00F71993">
        <w:rPr>
          <w:lang w:val="en-US"/>
        </w:rPr>
        <w:t xml:space="preserve">that </w:t>
      </w:r>
      <w:r w:rsidR="00F71993" w:rsidRPr="00F71993">
        <w:rPr>
          <w:lang w:val="en-US"/>
        </w:rPr>
        <w:t xml:space="preserve">may supplement or potentially compete with or substitute </w:t>
      </w:r>
      <w:r w:rsidR="00B5723F">
        <w:rPr>
          <w:lang w:val="en-US"/>
        </w:rPr>
        <w:t>for</w:t>
      </w:r>
      <w:r w:rsidR="00F71993" w:rsidRPr="00F71993">
        <w:rPr>
          <w:lang w:val="en-US"/>
        </w:rPr>
        <w:t xml:space="preserve"> traditional telecommunications</w:t>
      </w:r>
      <w:r w:rsidR="00B5723F">
        <w:rPr>
          <w:lang w:val="en-US"/>
        </w:rPr>
        <w:t xml:space="preserve"> services.</w:t>
      </w:r>
    </w:p>
    <w:p w:rsidR="00704C45" w:rsidRDefault="008F6A08" w:rsidP="00704C45">
      <w:pPr>
        <w:ind w:left="-567" w:right="-568"/>
        <w:jc w:val="both"/>
        <w:rPr>
          <w:rFonts w:eastAsia="Times New Roman"/>
          <w:lang w:val="en-US"/>
        </w:rPr>
      </w:pPr>
      <w:r>
        <w:rPr>
          <w:rFonts w:eastAsia="Times New Roman"/>
          <w:lang w:val="en-US"/>
        </w:rPr>
        <w:t xml:space="preserve">On the other hand, </w:t>
      </w:r>
      <w:r w:rsidRPr="008F6A08">
        <w:rPr>
          <w:rFonts w:eastAsia="Times New Roman"/>
          <w:lang w:val="en-US"/>
        </w:rPr>
        <w:t xml:space="preserve">are those that </w:t>
      </w:r>
      <w:r w:rsidR="00C62144">
        <w:rPr>
          <w:rFonts w:eastAsia="Times New Roman"/>
          <w:lang w:val="en-US"/>
        </w:rPr>
        <w:t>can</w:t>
      </w:r>
      <w:r w:rsidR="002328D0">
        <w:rPr>
          <w:rFonts w:eastAsia="Times New Roman"/>
          <w:lang w:val="en-US"/>
        </w:rPr>
        <w:t xml:space="preserve">’t </w:t>
      </w:r>
      <w:r w:rsidR="00C62144">
        <w:rPr>
          <w:rFonts w:eastAsia="Times New Roman"/>
          <w:lang w:val="en-US"/>
        </w:rPr>
        <w:t xml:space="preserve">be </w:t>
      </w:r>
      <w:r w:rsidRPr="008F6A08">
        <w:rPr>
          <w:rFonts w:eastAsia="Times New Roman"/>
          <w:lang w:val="en-US"/>
        </w:rPr>
        <w:t>confused with the telecommunications services</w:t>
      </w:r>
      <w:r w:rsidR="002328D0">
        <w:rPr>
          <w:rFonts w:eastAsia="Times New Roman"/>
          <w:lang w:val="en-US"/>
        </w:rPr>
        <w:t xml:space="preserve"> that supports them and </w:t>
      </w:r>
      <w:r w:rsidR="002328D0" w:rsidRPr="002328D0">
        <w:rPr>
          <w:rFonts w:eastAsia="Times New Roman"/>
          <w:lang w:val="en-US"/>
        </w:rPr>
        <w:t>that depends on the public Internet for</w:t>
      </w:r>
      <w:r w:rsidR="002328D0">
        <w:rPr>
          <w:rFonts w:eastAsia="Times New Roman"/>
          <w:lang w:val="en-US"/>
        </w:rPr>
        <w:t xml:space="preserve"> its delivery, at least in part.</w:t>
      </w:r>
      <w:r w:rsidR="00704C45" w:rsidRPr="00704C45">
        <w:rPr>
          <w:rFonts w:eastAsia="Times New Roman"/>
          <w:lang w:val="en-US"/>
        </w:rPr>
        <w:t xml:space="preserve"> </w:t>
      </w:r>
    </w:p>
    <w:p w:rsidR="00704C45" w:rsidRDefault="00704C45" w:rsidP="00704C45">
      <w:pPr>
        <w:ind w:left="-567" w:right="-568"/>
        <w:jc w:val="both"/>
        <w:rPr>
          <w:lang w:val="en-US"/>
        </w:rPr>
      </w:pPr>
      <w:r>
        <w:rPr>
          <w:rFonts w:eastAsia="Times New Roman"/>
          <w:lang w:val="en-US"/>
        </w:rPr>
        <w:t xml:space="preserve">For the purpose of this contribution we are going to consider OTT </w:t>
      </w:r>
      <w:r w:rsidR="0023719C">
        <w:rPr>
          <w:rFonts w:eastAsia="Times New Roman"/>
          <w:lang w:val="en-US"/>
        </w:rPr>
        <w:t xml:space="preserve">providers </w:t>
      </w:r>
      <w:r>
        <w:rPr>
          <w:rFonts w:eastAsia="Times New Roman"/>
          <w:lang w:val="en-US"/>
        </w:rPr>
        <w:t xml:space="preserve">those </w:t>
      </w:r>
      <w:r w:rsidR="0023719C">
        <w:rPr>
          <w:rFonts w:eastAsia="Times New Roman"/>
          <w:lang w:val="en-US"/>
        </w:rPr>
        <w:t xml:space="preserve">who offers </w:t>
      </w:r>
      <w:r w:rsidR="000A365A">
        <w:rPr>
          <w:lang w:val="en-US"/>
        </w:rPr>
        <w:t>on-line</w:t>
      </w:r>
      <w:r>
        <w:rPr>
          <w:lang w:val="en-US"/>
        </w:rPr>
        <w:t xml:space="preserve"> applications and services delivered over telecommunications networks </w:t>
      </w:r>
      <w:r w:rsidR="00CD2400">
        <w:rPr>
          <w:lang w:val="en-US"/>
        </w:rPr>
        <w:t>(</w:t>
      </w:r>
      <w:r w:rsidR="00C36C32" w:rsidRPr="00B37E30">
        <w:rPr>
          <w:lang w:val="en-US"/>
        </w:rPr>
        <w:t>but neither operates a network nor leases network capacity from a network operator</w:t>
      </w:r>
      <w:r w:rsidR="00C36C32">
        <w:rPr>
          <w:lang w:val="en-US"/>
        </w:rPr>
        <w:t xml:space="preserve">) </w:t>
      </w:r>
      <w:r>
        <w:rPr>
          <w:lang w:val="en-US"/>
        </w:rPr>
        <w:t xml:space="preserve">that </w:t>
      </w:r>
      <w:r w:rsidRPr="00F71993">
        <w:rPr>
          <w:lang w:val="en-US"/>
        </w:rPr>
        <w:t xml:space="preserve">may supplement or potentially compete with or substitute </w:t>
      </w:r>
      <w:r>
        <w:rPr>
          <w:lang w:val="en-US"/>
        </w:rPr>
        <w:t>for</w:t>
      </w:r>
      <w:r w:rsidRPr="00F71993">
        <w:rPr>
          <w:lang w:val="en-US"/>
        </w:rPr>
        <w:t xml:space="preserve"> traditional telecommunications</w:t>
      </w:r>
      <w:r>
        <w:rPr>
          <w:lang w:val="en-US"/>
        </w:rPr>
        <w:t xml:space="preserve"> services.</w:t>
      </w:r>
    </w:p>
    <w:p w:rsidR="00E80B61" w:rsidRDefault="000A365A" w:rsidP="00B37E30">
      <w:pPr>
        <w:ind w:left="-567" w:right="-568"/>
        <w:jc w:val="both"/>
        <w:rPr>
          <w:lang w:val="en-US"/>
        </w:rPr>
      </w:pPr>
      <w:r w:rsidRPr="000A365A">
        <w:rPr>
          <w:lang w:val="en-US"/>
        </w:rPr>
        <w:t>We strongly recommend that ITU continue</w:t>
      </w:r>
      <w:r w:rsidR="0007632C">
        <w:rPr>
          <w:lang w:val="en-US"/>
        </w:rPr>
        <w:t>s</w:t>
      </w:r>
      <w:r w:rsidRPr="000A365A">
        <w:rPr>
          <w:lang w:val="en-US"/>
        </w:rPr>
        <w:t xml:space="preserve"> to promote the debate on the relationship between OTTs and telecommunications services</w:t>
      </w:r>
      <w:r>
        <w:rPr>
          <w:lang w:val="en-US"/>
        </w:rPr>
        <w:t xml:space="preserve"> </w:t>
      </w:r>
      <w:r w:rsidR="00110652">
        <w:rPr>
          <w:lang w:val="en-US"/>
        </w:rPr>
        <w:t xml:space="preserve">in order to achieve </w:t>
      </w:r>
      <w:r w:rsidR="00D667B1" w:rsidRPr="00D667B1">
        <w:rPr>
          <w:lang w:val="en-US"/>
        </w:rPr>
        <w:t>f</w:t>
      </w:r>
      <w:r w:rsidR="00E80B61">
        <w:rPr>
          <w:lang w:val="en-US"/>
        </w:rPr>
        <w:t>air competition</w:t>
      </w:r>
      <w:r w:rsidR="00D667B1" w:rsidRPr="00D667B1">
        <w:rPr>
          <w:lang w:val="en-US"/>
        </w:rPr>
        <w:t>, consumer protection, dynamic innovation, sustainable investment and infrastruct</w:t>
      </w:r>
      <w:r w:rsidR="00E80B61">
        <w:rPr>
          <w:lang w:val="en-US"/>
        </w:rPr>
        <w:t xml:space="preserve">ure development. </w:t>
      </w:r>
    </w:p>
    <w:p w:rsidR="00EC0915" w:rsidRDefault="005409F8" w:rsidP="005409F8">
      <w:pPr>
        <w:ind w:left="-567" w:right="-568"/>
        <w:jc w:val="both"/>
        <w:rPr>
          <w:rFonts w:eastAsia="Times New Roman"/>
          <w:lang w:val="en-US"/>
        </w:rPr>
      </w:pPr>
      <w:r w:rsidRPr="005409F8">
        <w:rPr>
          <w:rFonts w:eastAsia="Times New Roman"/>
          <w:lang w:val="en-US"/>
        </w:rPr>
        <w:t>We advo</w:t>
      </w:r>
      <w:r>
        <w:rPr>
          <w:rFonts w:eastAsia="Times New Roman"/>
          <w:lang w:val="en-US"/>
        </w:rPr>
        <w:t>cate that ITU should</w:t>
      </w:r>
      <w:r w:rsidR="00EC0915">
        <w:rPr>
          <w:rFonts w:eastAsia="Times New Roman"/>
          <w:lang w:val="en-US"/>
        </w:rPr>
        <w:t>:</w:t>
      </w:r>
    </w:p>
    <w:p w:rsidR="00EC0915" w:rsidRDefault="00EC0915" w:rsidP="00EC0915">
      <w:pPr>
        <w:pStyle w:val="PargrafodaLista"/>
        <w:numPr>
          <w:ilvl w:val="0"/>
          <w:numId w:val="10"/>
        </w:numPr>
        <w:ind w:left="-196" w:right="-568"/>
        <w:jc w:val="both"/>
        <w:rPr>
          <w:rFonts w:eastAsia="Times New Roman"/>
          <w:lang w:val="en-US"/>
        </w:rPr>
      </w:pPr>
      <w:r>
        <w:rPr>
          <w:rFonts w:eastAsia="Times New Roman"/>
          <w:lang w:val="en-US"/>
        </w:rPr>
        <w:t>E</w:t>
      </w:r>
      <w:r w:rsidR="005409F8" w:rsidRPr="00EC0915">
        <w:rPr>
          <w:rFonts w:eastAsia="Times New Roman"/>
          <w:lang w:val="en-US"/>
        </w:rPr>
        <w:t>ncourage Administrations to ensure regulatory equality of the traditional services and OTT in order to maintain conducive competitive environment in keeping with the principle that similar services shall be subject to similar regulation regard</w:t>
      </w:r>
      <w:r w:rsidR="00A47346">
        <w:rPr>
          <w:rFonts w:eastAsia="Times New Roman"/>
          <w:lang w:val="en-US"/>
        </w:rPr>
        <w:t>less of their provision method;</w:t>
      </w:r>
    </w:p>
    <w:p w:rsidR="005409F8" w:rsidRDefault="005409F8" w:rsidP="00EC0915">
      <w:pPr>
        <w:pStyle w:val="PargrafodaLista"/>
        <w:numPr>
          <w:ilvl w:val="0"/>
          <w:numId w:val="10"/>
        </w:numPr>
        <w:ind w:left="-207" w:right="-568"/>
        <w:jc w:val="both"/>
        <w:rPr>
          <w:rFonts w:eastAsia="Times New Roman"/>
          <w:lang w:val="en-US"/>
        </w:rPr>
      </w:pPr>
      <w:r w:rsidRPr="00EC0915">
        <w:rPr>
          <w:rFonts w:eastAsia="Times New Roman"/>
          <w:lang w:val="en-US"/>
        </w:rPr>
        <w:t xml:space="preserve">An OTT provider should operate in compliance with the law of the country in whose territory such services are provided, including provisions ensuring personal data protection, preventing distribution of illegal information and spam, and </w:t>
      </w:r>
      <w:r w:rsidR="00A47346">
        <w:rPr>
          <w:rFonts w:eastAsia="Times New Roman"/>
          <w:lang w:val="en-US"/>
        </w:rPr>
        <w:t xml:space="preserve">similar tax legislation </w:t>
      </w:r>
      <w:r w:rsidR="004D260B">
        <w:rPr>
          <w:rFonts w:eastAsia="Times New Roman"/>
          <w:lang w:val="en-US"/>
        </w:rPr>
        <w:t>applied to telecommunications services</w:t>
      </w:r>
      <w:r w:rsidR="00A47346">
        <w:rPr>
          <w:rFonts w:eastAsia="Times New Roman"/>
          <w:lang w:val="en-US"/>
        </w:rPr>
        <w:t>;</w:t>
      </w:r>
    </w:p>
    <w:p w:rsidR="00B02B08" w:rsidRDefault="005409F8" w:rsidP="00DA639E">
      <w:pPr>
        <w:pStyle w:val="PargrafodaLista"/>
        <w:numPr>
          <w:ilvl w:val="0"/>
          <w:numId w:val="10"/>
        </w:numPr>
        <w:ind w:left="-210" w:right="-568"/>
        <w:jc w:val="both"/>
        <w:rPr>
          <w:rFonts w:eastAsia="Times New Roman"/>
          <w:lang w:val="en-US"/>
        </w:rPr>
      </w:pPr>
      <w:r w:rsidRPr="00B02B08">
        <w:rPr>
          <w:rFonts w:eastAsia="Times New Roman"/>
          <w:lang w:val="en-US"/>
        </w:rPr>
        <w:t xml:space="preserve">In the spirit of service availability and affordability, </w:t>
      </w:r>
      <w:r w:rsidR="005B42B7" w:rsidRPr="00B02B08">
        <w:rPr>
          <w:rFonts w:eastAsia="Times New Roman"/>
          <w:lang w:val="en-US"/>
        </w:rPr>
        <w:t xml:space="preserve">ITU should </w:t>
      </w:r>
      <w:r w:rsidR="003C492E" w:rsidRPr="00B02B08">
        <w:rPr>
          <w:rFonts w:eastAsia="Times New Roman"/>
          <w:lang w:val="en-US"/>
        </w:rPr>
        <w:t xml:space="preserve">encourage </w:t>
      </w:r>
      <w:r w:rsidR="005B42B7" w:rsidRPr="00B02B08">
        <w:rPr>
          <w:rFonts w:eastAsia="Times New Roman"/>
          <w:lang w:val="en-US"/>
        </w:rPr>
        <w:t xml:space="preserve">Administrations to reduce the regulations obligations on the </w:t>
      </w:r>
      <w:r w:rsidR="006732D9" w:rsidRPr="00B02B08">
        <w:rPr>
          <w:rFonts w:eastAsia="Times New Roman"/>
          <w:lang w:val="en-US"/>
        </w:rPr>
        <w:t>telecommunications services;</w:t>
      </w:r>
      <w:r w:rsidR="006F136D" w:rsidRPr="00B02B08">
        <w:rPr>
          <w:rFonts w:eastAsia="Times New Roman"/>
          <w:lang w:val="en-US"/>
        </w:rPr>
        <w:t xml:space="preserve"> </w:t>
      </w:r>
    </w:p>
    <w:p w:rsidR="00DA639E" w:rsidRDefault="006732D9" w:rsidP="00AF15AF">
      <w:pPr>
        <w:pStyle w:val="PargrafodaLista"/>
        <w:numPr>
          <w:ilvl w:val="0"/>
          <w:numId w:val="10"/>
        </w:numPr>
        <w:ind w:left="-210" w:right="-568"/>
        <w:jc w:val="both"/>
        <w:rPr>
          <w:rFonts w:eastAsia="Times New Roman"/>
          <w:lang w:val="en-US"/>
        </w:rPr>
      </w:pPr>
      <w:r w:rsidRPr="00B02B08">
        <w:rPr>
          <w:rFonts w:eastAsia="Times New Roman"/>
          <w:lang w:val="en-US"/>
        </w:rPr>
        <w:t xml:space="preserve">In the spirit of service availability and affordability, ITU should encourage Administrations </w:t>
      </w:r>
      <w:r w:rsidR="00DA639E" w:rsidRPr="00B02B08">
        <w:rPr>
          <w:rFonts w:eastAsia="Times New Roman"/>
          <w:lang w:val="en-US"/>
        </w:rPr>
        <w:t>to implement</w:t>
      </w:r>
      <w:r w:rsidR="00DA639E">
        <w:rPr>
          <w:rFonts w:eastAsia="Times New Roman"/>
          <w:lang w:val="en-US"/>
        </w:rPr>
        <w:t xml:space="preserve"> </w:t>
      </w:r>
      <w:r w:rsidR="00BB0E54" w:rsidRPr="00B02B08">
        <w:rPr>
          <w:rFonts w:eastAsia="Times New Roman"/>
          <w:lang w:val="en-US"/>
        </w:rPr>
        <w:t xml:space="preserve">tax reforms aimed at lowering tax burdens </w:t>
      </w:r>
      <w:r w:rsidR="00AF15AF" w:rsidRPr="00AF15AF">
        <w:rPr>
          <w:rFonts w:eastAsia="Times New Roman"/>
          <w:lang w:val="en-US"/>
        </w:rPr>
        <w:t>to levels compatible with the essentiality of telecommunications services.</w:t>
      </w:r>
    </w:p>
    <w:p w:rsidR="00C74BEB" w:rsidRDefault="00C74BEB" w:rsidP="00322043">
      <w:pPr>
        <w:ind w:left="-567" w:right="-568"/>
        <w:jc w:val="both"/>
        <w:rPr>
          <w:rFonts w:eastAsia="Times New Roman"/>
        </w:rPr>
      </w:pPr>
    </w:p>
    <w:p w:rsidR="001434EE" w:rsidRDefault="001434EE" w:rsidP="00E70E11">
      <w:pPr>
        <w:ind w:left="-567" w:right="-568"/>
        <w:jc w:val="both"/>
        <w:rPr>
          <w:lang w:val="en-US"/>
        </w:rPr>
      </w:pPr>
      <w:r w:rsidRPr="00C202FD">
        <w:rPr>
          <w:b/>
          <w:lang w:val="en-US"/>
        </w:rPr>
        <w:t>Opportunities:</w:t>
      </w:r>
      <w:r w:rsidRPr="001434EE">
        <w:rPr>
          <w:lang w:val="en-US"/>
        </w:rPr>
        <w:t xml:space="preserve"> The digital </w:t>
      </w:r>
      <w:r w:rsidR="00E65C43">
        <w:rPr>
          <w:lang w:val="en-US"/>
        </w:rPr>
        <w:t xml:space="preserve">revolution </w:t>
      </w:r>
      <w:r w:rsidR="00E65C43" w:rsidRPr="001434EE">
        <w:rPr>
          <w:lang w:val="en-US"/>
        </w:rPr>
        <w:t>that</w:t>
      </w:r>
      <w:r w:rsidRPr="001434EE">
        <w:rPr>
          <w:lang w:val="en-US"/>
        </w:rPr>
        <w:t xml:space="preserve"> is taking place all over the world, </w:t>
      </w:r>
      <w:r w:rsidR="002E3FC2">
        <w:rPr>
          <w:lang w:val="en-US"/>
        </w:rPr>
        <w:t xml:space="preserve">sustained by </w:t>
      </w:r>
      <w:r w:rsidRPr="001434EE">
        <w:rPr>
          <w:lang w:val="en-US"/>
        </w:rPr>
        <w:t xml:space="preserve">the modernization </w:t>
      </w:r>
      <w:r w:rsidR="002E3FC2">
        <w:rPr>
          <w:lang w:val="en-US"/>
        </w:rPr>
        <w:t xml:space="preserve">of telecommunications networks and </w:t>
      </w:r>
      <w:r w:rsidR="00EC6960">
        <w:rPr>
          <w:lang w:val="en-US"/>
        </w:rPr>
        <w:t xml:space="preserve">by the </w:t>
      </w:r>
      <w:r w:rsidRPr="001434EE">
        <w:rPr>
          <w:lang w:val="en-US"/>
        </w:rPr>
        <w:t xml:space="preserve">innovation and development of ICT solutions, intends to change the way </w:t>
      </w:r>
      <w:r w:rsidR="0017453B">
        <w:rPr>
          <w:lang w:val="en-US"/>
        </w:rPr>
        <w:t xml:space="preserve">of </w:t>
      </w:r>
      <w:r w:rsidRPr="001434EE">
        <w:rPr>
          <w:lang w:val="en-US"/>
        </w:rPr>
        <w:t>conventional ser</w:t>
      </w:r>
      <w:r w:rsidR="0017453B">
        <w:rPr>
          <w:lang w:val="en-US"/>
        </w:rPr>
        <w:t xml:space="preserve">vices are </w:t>
      </w:r>
      <w:r w:rsidR="00E65C43">
        <w:rPr>
          <w:lang w:val="en-US"/>
        </w:rPr>
        <w:t xml:space="preserve">being </w:t>
      </w:r>
      <w:bookmarkStart w:id="0" w:name="_GoBack"/>
      <w:bookmarkEnd w:id="0"/>
      <w:r w:rsidR="0017453B">
        <w:rPr>
          <w:lang w:val="en-US"/>
        </w:rPr>
        <w:t>provided to societies; t</w:t>
      </w:r>
      <w:r w:rsidRPr="001434EE">
        <w:rPr>
          <w:lang w:val="en-US"/>
        </w:rPr>
        <w:t xml:space="preserve">he way </w:t>
      </w:r>
      <w:r w:rsidR="003A2EB9">
        <w:rPr>
          <w:lang w:val="en-US"/>
        </w:rPr>
        <w:t xml:space="preserve">to control and monitor </w:t>
      </w:r>
      <w:r w:rsidRPr="001434EE">
        <w:rPr>
          <w:lang w:val="en-US"/>
        </w:rPr>
        <w:t>the p</w:t>
      </w:r>
      <w:r w:rsidR="00EC6960">
        <w:rPr>
          <w:lang w:val="en-US"/>
        </w:rPr>
        <w:t>roduct</w:t>
      </w:r>
      <w:r w:rsidR="00487D9D">
        <w:rPr>
          <w:lang w:val="en-US"/>
        </w:rPr>
        <w:t xml:space="preserve">ion </w:t>
      </w:r>
      <w:r w:rsidR="00EC6960">
        <w:rPr>
          <w:lang w:val="en-US"/>
        </w:rPr>
        <w:t>processes of v</w:t>
      </w:r>
      <w:r w:rsidRPr="001434EE">
        <w:rPr>
          <w:lang w:val="en-US"/>
        </w:rPr>
        <w:t>arious economic segments</w:t>
      </w:r>
      <w:r w:rsidR="00487D9D">
        <w:rPr>
          <w:lang w:val="en-US"/>
        </w:rPr>
        <w:t xml:space="preserve">; </w:t>
      </w:r>
      <w:r w:rsidRPr="001434EE">
        <w:rPr>
          <w:lang w:val="en-US"/>
        </w:rPr>
        <w:t xml:space="preserve">and </w:t>
      </w:r>
      <w:r w:rsidR="00487D9D">
        <w:rPr>
          <w:lang w:val="en-US"/>
        </w:rPr>
        <w:t xml:space="preserve">the </w:t>
      </w:r>
      <w:r w:rsidRPr="001434EE">
        <w:rPr>
          <w:lang w:val="en-US"/>
        </w:rPr>
        <w:t xml:space="preserve">optimization of </w:t>
      </w:r>
      <w:r w:rsidR="001C6D15">
        <w:rPr>
          <w:lang w:val="en-US"/>
        </w:rPr>
        <w:t xml:space="preserve">the </w:t>
      </w:r>
      <w:r w:rsidRPr="001434EE">
        <w:rPr>
          <w:lang w:val="en-US"/>
        </w:rPr>
        <w:t>public resources</w:t>
      </w:r>
      <w:r w:rsidR="001C6D15">
        <w:rPr>
          <w:lang w:val="en-US"/>
        </w:rPr>
        <w:t xml:space="preserve"> management</w:t>
      </w:r>
      <w:r w:rsidRPr="001434EE">
        <w:rPr>
          <w:lang w:val="en-US"/>
        </w:rPr>
        <w:t>, as well as the way of life of each citizen.</w:t>
      </w:r>
    </w:p>
    <w:p w:rsidR="0032238E" w:rsidRPr="00C529F6" w:rsidRDefault="0032238E" w:rsidP="0032238E">
      <w:pPr>
        <w:ind w:left="-567" w:right="-568"/>
        <w:jc w:val="both"/>
        <w:rPr>
          <w:rFonts w:cstheme="minorHAnsi"/>
          <w:lang w:val="en-US"/>
        </w:rPr>
      </w:pPr>
      <w:r w:rsidRPr="00C529F6">
        <w:rPr>
          <w:rFonts w:eastAsia="Times New Roman" w:cstheme="minorHAnsi"/>
          <w:lang w:val="en-US" w:eastAsia="pt-BR"/>
        </w:rPr>
        <w:lastRenderedPageBreak/>
        <w:t>The TMT</w:t>
      </w:r>
      <w:r>
        <w:rPr>
          <w:rFonts w:eastAsia="Times New Roman" w:cstheme="minorHAnsi"/>
          <w:lang w:val="en-US" w:eastAsia="pt-BR"/>
        </w:rPr>
        <w:t xml:space="preserve"> (Technology, Media and Telecommunication) </w:t>
      </w:r>
      <w:r w:rsidRPr="00C529F6">
        <w:rPr>
          <w:rFonts w:eastAsia="Times New Roman" w:cstheme="minorHAnsi"/>
          <w:lang w:val="en-US" w:eastAsia="pt-BR"/>
        </w:rPr>
        <w:t xml:space="preserve">value chain has its tectonic activities in a clear redefinition of borders, from the generation and distribution of contents, passing </w:t>
      </w:r>
      <w:r>
        <w:rPr>
          <w:rFonts w:eastAsia="Times New Roman" w:cstheme="minorHAnsi"/>
          <w:lang w:val="en-US" w:eastAsia="pt-BR"/>
        </w:rPr>
        <w:t xml:space="preserve">through </w:t>
      </w:r>
      <w:r w:rsidRPr="00C529F6">
        <w:rPr>
          <w:rFonts w:eastAsia="Times New Roman" w:cstheme="minorHAnsi"/>
          <w:lang w:val="en-US" w:eastAsia="pt-BR"/>
        </w:rPr>
        <w:t>connectivity, platforms and devices, reaching applications and services. The behavior of customers has changed, with an irreversible adoption of new consumption habits. The voice was replaced by the data, the fixed by the mobile and the videos and images guide the future prospects. There is a new consumer mindset. But regulation needs to be updated in order to mirror this future and the business models that make it possible. And along with this regulation are legal and tax aspects.</w:t>
      </w:r>
    </w:p>
    <w:p w:rsidR="001434EE" w:rsidRPr="00C202FD" w:rsidRDefault="001434EE" w:rsidP="001434EE">
      <w:pPr>
        <w:ind w:left="-567" w:right="-568"/>
        <w:rPr>
          <w:b/>
          <w:lang w:val="en-US"/>
        </w:rPr>
      </w:pPr>
      <w:r w:rsidRPr="00C202FD">
        <w:rPr>
          <w:b/>
          <w:lang w:val="en-US"/>
        </w:rPr>
        <w:t>Implication</w:t>
      </w:r>
      <w:r w:rsidR="00C202FD" w:rsidRPr="00C202FD">
        <w:rPr>
          <w:b/>
          <w:lang w:val="en-US"/>
        </w:rPr>
        <w:t>s</w:t>
      </w:r>
      <w:r w:rsidRPr="00C202FD">
        <w:rPr>
          <w:b/>
          <w:lang w:val="en-US"/>
        </w:rPr>
        <w:t>:</w:t>
      </w:r>
    </w:p>
    <w:p w:rsidR="00CB2871" w:rsidRPr="001434EE" w:rsidRDefault="00CB2871" w:rsidP="00887653">
      <w:pPr>
        <w:ind w:left="-567" w:right="-568"/>
        <w:jc w:val="both"/>
        <w:rPr>
          <w:lang w:val="en-US"/>
        </w:rPr>
      </w:pPr>
      <w:r w:rsidRPr="001434EE">
        <w:rPr>
          <w:lang w:val="en-US"/>
        </w:rPr>
        <w:t xml:space="preserve">In this way, different solutions and applications of IoT, intelligent cities will be </w:t>
      </w:r>
      <w:r w:rsidR="001C6D15">
        <w:rPr>
          <w:lang w:val="en-US"/>
        </w:rPr>
        <w:t xml:space="preserve">created and deployed </w:t>
      </w:r>
      <w:r w:rsidRPr="001434EE">
        <w:rPr>
          <w:lang w:val="en-US"/>
        </w:rPr>
        <w:t>demanding more and more conn</w:t>
      </w:r>
      <w:r w:rsidR="00D002E5">
        <w:rPr>
          <w:lang w:val="en-US"/>
        </w:rPr>
        <w:t xml:space="preserve">ectivity, coverage and quality from the </w:t>
      </w:r>
      <w:r w:rsidRPr="001434EE">
        <w:rPr>
          <w:lang w:val="en-US"/>
        </w:rPr>
        <w:t>telecommunications services.</w:t>
      </w:r>
    </w:p>
    <w:p w:rsidR="00CB6339" w:rsidRDefault="00F45C40" w:rsidP="00CB6339">
      <w:pPr>
        <w:ind w:left="-567" w:right="-568"/>
        <w:jc w:val="both"/>
        <w:rPr>
          <w:lang w:val="en-US"/>
        </w:rPr>
      </w:pPr>
      <w:r>
        <w:rPr>
          <w:lang w:val="en-US"/>
        </w:rPr>
        <w:t>On the other side, t</w:t>
      </w:r>
      <w:r w:rsidR="00CB6339" w:rsidRPr="000F6BF6">
        <w:rPr>
          <w:lang w:val="en-US"/>
        </w:rPr>
        <w:t xml:space="preserve">he business model of the largest </w:t>
      </w:r>
      <w:r w:rsidR="00CB6339">
        <w:rPr>
          <w:lang w:val="en-US"/>
        </w:rPr>
        <w:t xml:space="preserve">on-line services </w:t>
      </w:r>
      <w:r w:rsidR="00CB6339" w:rsidRPr="000F6BF6">
        <w:rPr>
          <w:lang w:val="en-US"/>
        </w:rPr>
        <w:t>are based on advertising and propaganda</w:t>
      </w:r>
      <w:r w:rsidR="00CB6339">
        <w:rPr>
          <w:lang w:val="en-US"/>
        </w:rPr>
        <w:t xml:space="preserve">. </w:t>
      </w:r>
      <w:r w:rsidR="00CB6339" w:rsidRPr="000F6BF6">
        <w:rPr>
          <w:lang w:val="en-US"/>
        </w:rPr>
        <w:t xml:space="preserve"> This advertising consumes the data package of the plans that customers contract from the operators, without choosing to receive this "unwanted" advertisement (without the opt-in of this advertising in data consumption). The more addicted the user is to Internet applications, the greater their consumption of the data package in proportion to undesired (or unwelcome) advertising. This volume reaches two-digit percentages of an ordinary user's data packet. </w:t>
      </w:r>
    </w:p>
    <w:p w:rsidR="00CB6339" w:rsidRDefault="00CB6339" w:rsidP="00CB6339">
      <w:pPr>
        <w:ind w:left="-567" w:right="-568"/>
        <w:jc w:val="both"/>
        <w:rPr>
          <w:lang w:val="en-US"/>
        </w:rPr>
      </w:pPr>
      <w:r w:rsidRPr="000F6BF6">
        <w:rPr>
          <w:lang w:val="en-US"/>
        </w:rPr>
        <w:t xml:space="preserve">This publicity and the distribution of content in an intense way, in large volumes and for longer periods of time, inevitably require a revision of the statistics of network usage for the purpose of investment projects by the operators. All this has been rethought, but the financial economic equation has a natural balance that need to be preserved, in </w:t>
      </w:r>
      <w:r w:rsidR="00025E7D">
        <w:rPr>
          <w:lang w:val="en-US"/>
        </w:rPr>
        <w:t>favor of the growth of coverage, quality s</w:t>
      </w:r>
      <w:r w:rsidRPr="000F6BF6">
        <w:rPr>
          <w:lang w:val="en-US"/>
        </w:rPr>
        <w:t xml:space="preserve">ervices and technological evolution. </w:t>
      </w:r>
    </w:p>
    <w:p w:rsidR="00887653" w:rsidRDefault="001434EE" w:rsidP="00887653">
      <w:pPr>
        <w:ind w:left="-567" w:right="-568"/>
        <w:jc w:val="both"/>
        <w:rPr>
          <w:lang w:val="en-US"/>
        </w:rPr>
      </w:pPr>
      <w:r w:rsidRPr="001434EE">
        <w:rPr>
          <w:lang w:val="en-US"/>
        </w:rPr>
        <w:t xml:space="preserve">Therefore, there is a need to </w:t>
      </w:r>
      <w:r w:rsidR="00CB2871">
        <w:rPr>
          <w:lang w:val="en-US"/>
        </w:rPr>
        <w:t xml:space="preserve">foster </w:t>
      </w:r>
      <w:r w:rsidRPr="001434EE">
        <w:rPr>
          <w:lang w:val="en-US"/>
        </w:rPr>
        <w:t>actions that stimulate the development, modernization and expansion of telecommunications networks</w:t>
      </w:r>
      <w:r w:rsidR="00F45C40">
        <w:rPr>
          <w:lang w:val="en-US"/>
        </w:rPr>
        <w:t xml:space="preserve"> and ITU should encourage A</w:t>
      </w:r>
      <w:r w:rsidRPr="001434EE">
        <w:rPr>
          <w:lang w:val="en-US"/>
        </w:rPr>
        <w:t xml:space="preserve">dministrations </w:t>
      </w:r>
      <w:r w:rsidR="00F45C40">
        <w:rPr>
          <w:lang w:val="en-US"/>
        </w:rPr>
        <w:t>t</w:t>
      </w:r>
      <w:r w:rsidRPr="001434EE">
        <w:rPr>
          <w:lang w:val="en-US"/>
        </w:rPr>
        <w:t xml:space="preserve">o </w:t>
      </w:r>
      <w:r w:rsidR="00C55177">
        <w:rPr>
          <w:lang w:val="en-US"/>
        </w:rPr>
        <w:t xml:space="preserve">promote </w:t>
      </w:r>
      <w:r w:rsidRPr="001434EE">
        <w:rPr>
          <w:lang w:val="en-US"/>
        </w:rPr>
        <w:t xml:space="preserve">a </w:t>
      </w:r>
      <w:r w:rsidR="00C55177">
        <w:rPr>
          <w:lang w:val="en-US"/>
        </w:rPr>
        <w:t xml:space="preserve">fair </w:t>
      </w:r>
      <w:r w:rsidRPr="001434EE">
        <w:rPr>
          <w:lang w:val="en-US"/>
        </w:rPr>
        <w:t>balanc</w:t>
      </w:r>
      <w:r w:rsidR="00C55177">
        <w:rPr>
          <w:lang w:val="en-US"/>
        </w:rPr>
        <w:t>ing</w:t>
      </w:r>
      <w:r w:rsidRPr="001434EE">
        <w:rPr>
          <w:lang w:val="en-US"/>
        </w:rPr>
        <w:t xml:space="preserve"> between agents that </w:t>
      </w:r>
      <w:r w:rsidR="00BD57D8">
        <w:rPr>
          <w:lang w:val="en-US"/>
        </w:rPr>
        <w:t xml:space="preserve">play key roles </w:t>
      </w:r>
      <w:r w:rsidRPr="001434EE">
        <w:rPr>
          <w:lang w:val="en-US"/>
        </w:rPr>
        <w:t xml:space="preserve">in the Internet value chain, </w:t>
      </w:r>
      <w:r w:rsidR="00855DE7">
        <w:rPr>
          <w:lang w:val="en-US"/>
        </w:rPr>
        <w:t xml:space="preserve">in order to ensure </w:t>
      </w:r>
      <w:r w:rsidR="00BD57D8">
        <w:rPr>
          <w:lang w:val="en-US"/>
        </w:rPr>
        <w:t xml:space="preserve">and promote </w:t>
      </w:r>
      <w:r w:rsidR="00855DE7">
        <w:rPr>
          <w:lang w:val="en-US"/>
        </w:rPr>
        <w:t>the sustainability of T</w:t>
      </w:r>
      <w:r w:rsidRPr="001434EE">
        <w:rPr>
          <w:lang w:val="en-US"/>
        </w:rPr>
        <w:t xml:space="preserve">elecommunication service providers </w:t>
      </w:r>
      <w:r w:rsidR="00CB2871">
        <w:rPr>
          <w:lang w:val="en-US"/>
        </w:rPr>
        <w:t>investments</w:t>
      </w:r>
      <w:r w:rsidRPr="001434EE">
        <w:rPr>
          <w:lang w:val="en-US"/>
        </w:rPr>
        <w:t>.</w:t>
      </w:r>
      <w:r w:rsidR="00CC0945">
        <w:rPr>
          <w:lang w:val="en-US"/>
        </w:rPr>
        <w:t xml:space="preserve"> </w:t>
      </w:r>
    </w:p>
    <w:p w:rsidR="00CB6339" w:rsidRDefault="00CB6339" w:rsidP="00887653">
      <w:pPr>
        <w:ind w:left="-567" w:right="-568"/>
        <w:jc w:val="both"/>
        <w:rPr>
          <w:lang w:val="en-US"/>
        </w:rPr>
      </w:pPr>
      <w:r>
        <w:rPr>
          <w:lang w:val="en-US"/>
        </w:rPr>
        <w:t xml:space="preserve">It’s necessary to accommodate </w:t>
      </w:r>
      <w:r w:rsidRPr="00895119">
        <w:rPr>
          <w:lang w:val="en-US"/>
        </w:rPr>
        <w:t xml:space="preserve">new business models in this ecosystem, with proper regulation, right incentives and, above all, balancing the economic-financial equation between </w:t>
      </w:r>
      <w:r w:rsidR="00944A00">
        <w:rPr>
          <w:lang w:val="en-US"/>
        </w:rPr>
        <w:t xml:space="preserve">“free riders” </w:t>
      </w:r>
      <w:r w:rsidR="007B69E9">
        <w:rPr>
          <w:lang w:val="en-US"/>
        </w:rPr>
        <w:t xml:space="preserve">and </w:t>
      </w:r>
      <w:r w:rsidRPr="00895119">
        <w:rPr>
          <w:lang w:val="en-US"/>
        </w:rPr>
        <w:t>telcos.</w:t>
      </w:r>
    </w:p>
    <w:p w:rsidR="0080411A" w:rsidRDefault="00903C0E" w:rsidP="00887653">
      <w:pPr>
        <w:ind w:left="-567" w:right="-568"/>
        <w:jc w:val="both"/>
        <w:rPr>
          <w:lang w:val="en-US"/>
        </w:rPr>
      </w:pPr>
      <w:r>
        <w:rPr>
          <w:lang w:val="en-US"/>
        </w:rPr>
        <w:t xml:space="preserve">Sinditelebrasil supports </w:t>
      </w:r>
      <w:r w:rsidR="007B69E9" w:rsidRPr="00895119">
        <w:rPr>
          <w:lang w:val="en-US"/>
        </w:rPr>
        <w:t xml:space="preserve">the need to revise the current model with adjustments in the commercial relationship border between </w:t>
      </w:r>
      <w:r w:rsidR="00944A00">
        <w:rPr>
          <w:lang w:val="en-US"/>
        </w:rPr>
        <w:t xml:space="preserve">On Line Service Providers </w:t>
      </w:r>
      <w:r w:rsidR="007B69E9" w:rsidRPr="00895119">
        <w:rPr>
          <w:lang w:val="en-US"/>
        </w:rPr>
        <w:t>x Telcos and Clients</w:t>
      </w:r>
      <w:r>
        <w:rPr>
          <w:lang w:val="en-US"/>
        </w:rPr>
        <w:t xml:space="preserve">. This revision should take in consideration </w:t>
      </w:r>
      <w:r w:rsidR="007B69E9" w:rsidRPr="00895119">
        <w:rPr>
          <w:lang w:val="en-US"/>
        </w:rPr>
        <w:t>the following assumptions:</w:t>
      </w:r>
    </w:p>
    <w:p w:rsidR="007B69E9" w:rsidRDefault="007B69E9" w:rsidP="00887653">
      <w:pPr>
        <w:ind w:left="-567" w:right="-568"/>
        <w:jc w:val="both"/>
        <w:rPr>
          <w:lang w:val="en-US"/>
        </w:rPr>
      </w:pPr>
      <w:r w:rsidRPr="00895119">
        <w:rPr>
          <w:lang w:val="en-US"/>
        </w:rPr>
        <w:t xml:space="preserve">(i) to stimulate the conscious consumption of the data package by customers </w:t>
      </w:r>
      <w:r w:rsidR="0080411A">
        <w:rPr>
          <w:lang w:val="en-US"/>
        </w:rPr>
        <w:t>t</w:t>
      </w:r>
      <w:r w:rsidRPr="00895119">
        <w:rPr>
          <w:lang w:val="en-US"/>
        </w:rPr>
        <w:t>hrough opt in for advertising and web adver</w:t>
      </w:r>
      <w:r w:rsidR="0080411A">
        <w:rPr>
          <w:lang w:val="en-US"/>
        </w:rPr>
        <w:t xml:space="preserve">tising (conscious consumption); </w:t>
      </w:r>
      <w:r w:rsidRPr="00895119">
        <w:rPr>
          <w:lang w:val="en-US"/>
        </w:rPr>
        <w:t>(</w:t>
      </w:r>
      <w:r w:rsidR="0080411A">
        <w:rPr>
          <w:lang w:val="en-US"/>
        </w:rPr>
        <w:t>ii</w:t>
      </w:r>
      <w:r w:rsidRPr="00895119">
        <w:rPr>
          <w:lang w:val="en-US"/>
        </w:rPr>
        <w:t>) This opt-in may occur in the zero-rating mode for the client</w:t>
      </w:r>
      <w:r w:rsidR="00560C86">
        <w:rPr>
          <w:lang w:val="en-US"/>
        </w:rPr>
        <w:t xml:space="preserve">; </w:t>
      </w:r>
      <w:r w:rsidRPr="00895119">
        <w:rPr>
          <w:lang w:val="en-US"/>
        </w:rPr>
        <w:t xml:space="preserve"> </w:t>
      </w:r>
      <w:r w:rsidR="00150447">
        <w:rPr>
          <w:lang w:val="en-US"/>
        </w:rPr>
        <w:t xml:space="preserve"> (iii</w:t>
      </w:r>
      <w:r w:rsidRPr="00895119">
        <w:rPr>
          <w:lang w:val="en-US"/>
        </w:rPr>
        <w:t>) Incentives through public policies for the development of infrastructure in datacenters, ne</w:t>
      </w:r>
      <w:r w:rsidR="00150447">
        <w:rPr>
          <w:lang w:val="en-US"/>
        </w:rPr>
        <w:t>twork, devices and applications</w:t>
      </w:r>
      <w:r w:rsidRPr="00895119">
        <w:rPr>
          <w:lang w:val="en-US"/>
        </w:rPr>
        <w:t>. There are upsides for all stakeholders - customers, operators and government.</w:t>
      </w:r>
    </w:p>
    <w:p w:rsidR="00895119" w:rsidRPr="00895119" w:rsidRDefault="00895119" w:rsidP="00895119"/>
    <w:sectPr w:rsidR="00895119" w:rsidRPr="008951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C43" w:rsidRDefault="00E65C43" w:rsidP="00B37E30">
      <w:pPr>
        <w:spacing w:after="0" w:line="240" w:lineRule="auto"/>
      </w:pPr>
      <w:r>
        <w:separator/>
      </w:r>
    </w:p>
  </w:endnote>
  <w:endnote w:type="continuationSeparator" w:id="0">
    <w:p w:rsidR="00E65C43" w:rsidRDefault="00E65C43" w:rsidP="00B3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Univer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C43" w:rsidRDefault="00E65C43" w:rsidP="00B37E30">
      <w:pPr>
        <w:spacing w:after="0" w:line="240" w:lineRule="auto"/>
      </w:pPr>
      <w:r>
        <w:separator/>
      </w:r>
    </w:p>
  </w:footnote>
  <w:footnote w:type="continuationSeparator" w:id="0">
    <w:p w:rsidR="00E65C43" w:rsidRDefault="00E65C43" w:rsidP="00B37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90A"/>
    <w:multiLevelType w:val="hybridMultilevel"/>
    <w:tmpl w:val="D5C694C4"/>
    <w:lvl w:ilvl="0" w:tplc="0416001B">
      <w:start w:val="1"/>
      <w:numFmt w:val="lowerRoman"/>
      <w:lvlText w:val="%1."/>
      <w:lvlJc w:val="right"/>
      <w:pPr>
        <w:ind w:left="1434" w:hanging="360"/>
      </w:pPr>
    </w:lvl>
    <w:lvl w:ilvl="1" w:tplc="04160019">
      <w:start w:val="1"/>
      <w:numFmt w:val="lowerLetter"/>
      <w:lvlText w:val="%2."/>
      <w:lvlJc w:val="left"/>
      <w:pPr>
        <w:ind w:left="2154" w:hanging="360"/>
      </w:pPr>
    </w:lvl>
    <w:lvl w:ilvl="2" w:tplc="0416001B">
      <w:start w:val="1"/>
      <w:numFmt w:val="lowerRoman"/>
      <w:lvlText w:val="%3."/>
      <w:lvlJc w:val="right"/>
      <w:pPr>
        <w:ind w:left="2874" w:hanging="180"/>
      </w:pPr>
    </w:lvl>
    <w:lvl w:ilvl="3" w:tplc="0416000F">
      <w:start w:val="1"/>
      <w:numFmt w:val="decimal"/>
      <w:lvlText w:val="%4."/>
      <w:lvlJc w:val="left"/>
      <w:pPr>
        <w:ind w:left="3594" w:hanging="360"/>
      </w:pPr>
    </w:lvl>
    <w:lvl w:ilvl="4" w:tplc="04160019">
      <w:start w:val="1"/>
      <w:numFmt w:val="lowerLetter"/>
      <w:lvlText w:val="%5."/>
      <w:lvlJc w:val="left"/>
      <w:pPr>
        <w:ind w:left="4314" w:hanging="360"/>
      </w:pPr>
    </w:lvl>
    <w:lvl w:ilvl="5" w:tplc="0416001B">
      <w:start w:val="1"/>
      <w:numFmt w:val="lowerRoman"/>
      <w:lvlText w:val="%6."/>
      <w:lvlJc w:val="right"/>
      <w:pPr>
        <w:ind w:left="5034" w:hanging="180"/>
      </w:pPr>
    </w:lvl>
    <w:lvl w:ilvl="6" w:tplc="0416000F">
      <w:start w:val="1"/>
      <w:numFmt w:val="decimal"/>
      <w:lvlText w:val="%7."/>
      <w:lvlJc w:val="left"/>
      <w:pPr>
        <w:ind w:left="5754" w:hanging="360"/>
      </w:pPr>
    </w:lvl>
    <w:lvl w:ilvl="7" w:tplc="04160019">
      <w:start w:val="1"/>
      <w:numFmt w:val="lowerLetter"/>
      <w:lvlText w:val="%8."/>
      <w:lvlJc w:val="left"/>
      <w:pPr>
        <w:ind w:left="6474" w:hanging="360"/>
      </w:pPr>
    </w:lvl>
    <w:lvl w:ilvl="8" w:tplc="0416001B">
      <w:start w:val="1"/>
      <w:numFmt w:val="lowerRoman"/>
      <w:lvlText w:val="%9."/>
      <w:lvlJc w:val="right"/>
      <w:pPr>
        <w:ind w:left="7194" w:hanging="180"/>
      </w:pPr>
    </w:lvl>
  </w:abstractNum>
  <w:abstractNum w:abstractNumId="1" w15:restartNumberingAfterBreak="0">
    <w:nsid w:val="0844433A"/>
    <w:multiLevelType w:val="hybridMultilevel"/>
    <w:tmpl w:val="E60CD6DA"/>
    <w:lvl w:ilvl="0" w:tplc="DCDA4E00">
      <w:numFmt w:val="bullet"/>
      <w:lvlText w:val="•"/>
      <w:lvlJc w:val="left"/>
      <w:pPr>
        <w:ind w:left="720" w:hanging="720"/>
      </w:pPr>
      <w:rPr>
        <w:rFonts w:ascii="Calibri" w:eastAsiaTheme="minorHAnsi" w:hAnsi="Calibr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237B4"/>
    <w:multiLevelType w:val="hybridMultilevel"/>
    <w:tmpl w:val="596E28A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724BFA"/>
    <w:multiLevelType w:val="hybridMultilevel"/>
    <w:tmpl w:val="E5B4C3C6"/>
    <w:lvl w:ilvl="0" w:tplc="04160001">
      <w:start w:val="1"/>
      <w:numFmt w:val="bullet"/>
      <w:lvlText w:val=""/>
      <w:lvlJc w:val="left"/>
      <w:pPr>
        <w:ind w:left="202" w:hanging="360"/>
      </w:pPr>
      <w:rPr>
        <w:rFonts w:ascii="Symbol" w:hAnsi="Symbol" w:hint="default"/>
      </w:rPr>
    </w:lvl>
    <w:lvl w:ilvl="1" w:tplc="04160003" w:tentative="1">
      <w:start w:val="1"/>
      <w:numFmt w:val="bullet"/>
      <w:lvlText w:val="o"/>
      <w:lvlJc w:val="left"/>
      <w:pPr>
        <w:ind w:left="922" w:hanging="360"/>
      </w:pPr>
      <w:rPr>
        <w:rFonts w:ascii="Courier New" w:hAnsi="Courier New" w:cs="Courier New" w:hint="default"/>
      </w:rPr>
    </w:lvl>
    <w:lvl w:ilvl="2" w:tplc="04160005" w:tentative="1">
      <w:start w:val="1"/>
      <w:numFmt w:val="bullet"/>
      <w:lvlText w:val=""/>
      <w:lvlJc w:val="left"/>
      <w:pPr>
        <w:ind w:left="1642" w:hanging="360"/>
      </w:pPr>
      <w:rPr>
        <w:rFonts w:ascii="Wingdings" w:hAnsi="Wingdings" w:hint="default"/>
      </w:rPr>
    </w:lvl>
    <w:lvl w:ilvl="3" w:tplc="04160001" w:tentative="1">
      <w:start w:val="1"/>
      <w:numFmt w:val="bullet"/>
      <w:lvlText w:val=""/>
      <w:lvlJc w:val="left"/>
      <w:pPr>
        <w:ind w:left="2362" w:hanging="360"/>
      </w:pPr>
      <w:rPr>
        <w:rFonts w:ascii="Symbol" w:hAnsi="Symbol" w:hint="default"/>
      </w:rPr>
    </w:lvl>
    <w:lvl w:ilvl="4" w:tplc="04160003" w:tentative="1">
      <w:start w:val="1"/>
      <w:numFmt w:val="bullet"/>
      <w:lvlText w:val="o"/>
      <w:lvlJc w:val="left"/>
      <w:pPr>
        <w:ind w:left="3082" w:hanging="360"/>
      </w:pPr>
      <w:rPr>
        <w:rFonts w:ascii="Courier New" w:hAnsi="Courier New" w:cs="Courier New" w:hint="default"/>
      </w:rPr>
    </w:lvl>
    <w:lvl w:ilvl="5" w:tplc="04160005" w:tentative="1">
      <w:start w:val="1"/>
      <w:numFmt w:val="bullet"/>
      <w:lvlText w:val=""/>
      <w:lvlJc w:val="left"/>
      <w:pPr>
        <w:ind w:left="3802" w:hanging="360"/>
      </w:pPr>
      <w:rPr>
        <w:rFonts w:ascii="Wingdings" w:hAnsi="Wingdings" w:hint="default"/>
      </w:rPr>
    </w:lvl>
    <w:lvl w:ilvl="6" w:tplc="04160001" w:tentative="1">
      <w:start w:val="1"/>
      <w:numFmt w:val="bullet"/>
      <w:lvlText w:val=""/>
      <w:lvlJc w:val="left"/>
      <w:pPr>
        <w:ind w:left="4522" w:hanging="360"/>
      </w:pPr>
      <w:rPr>
        <w:rFonts w:ascii="Symbol" w:hAnsi="Symbol" w:hint="default"/>
      </w:rPr>
    </w:lvl>
    <w:lvl w:ilvl="7" w:tplc="04160003" w:tentative="1">
      <w:start w:val="1"/>
      <w:numFmt w:val="bullet"/>
      <w:lvlText w:val="o"/>
      <w:lvlJc w:val="left"/>
      <w:pPr>
        <w:ind w:left="5242" w:hanging="360"/>
      </w:pPr>
      <w:rPr>
        <w:rFonts w:ascii="Courier New" w:hAnsi="Courier New" w:cs="Courier New" w:hint="default"/>
      </w:rPr>
    </w:lvl>
    <w:lvl w:ilvl="8" w:tplc="04160005" w:tentative="1">
      <w:start w:val="1"/>
      <w:numFmt w:val="bullet"/>
      <w:lvlText w:val=""/>
      <w:lvlJc w:val="left"/>
      <w:pPr>
        <w:ind w:left="5962" w:hanging="360"/>
      </w:pPr>
      <w:rPr>
        <w:rFonts w:ascii="Wingdings" w:hAnsi="Wingdings" w:hint="default"/>
      </w:rPr>
    </w:lvl>
  </w:abstractNum>
  <w:abstractNum w:abstractNumId="4" w15:restartNumberingAfterBreak="0">
    <w:nsid w:val="4C5F0E30"/>
    <w:multiLevelType w:val="hybridMultilevel"/>
    <w:tmpl w:val="CD9A4BF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5CA86A56"/>
    <w:multiLevelType w:val="multilevel"/>
    <w:tmpl w:val="BE3EFB86"/>
    <w:lvl w:ilvl="0">
      <w:start w:val="2"/>
      <w:numFmt w:val="decimal"/>
      <w:lvlText w:val="%1"/>
      <w:lvlJc w:val="left"/>
      <w:pPr>
        <w:tabs>
          <w:tab w:val="num" w:pos="0"/>
        </w:tabs>
        <w:ind w:left="0" w:hanging="360"/>
      </w:pPr>
    </w:lvl>
    <w:lvl w:ilvl="1">
      <w:start w:val="1"/>
      <w:numFmt w:val="decimal"/>
      <w:isLgl/>
      <w:lvlText w:val="%1.%2"/>
      <w:lvlJc w:val="left"/>
      <w:pPr>
        <w:ind w:left="390" w:hanging="39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720"/>
      </w:pPr>
    </w:lvl>
    <w:lvl w:ilvl="4">
      <w:start w:val="1"/>
      <w:numFmt w:val="decimal"/>
      <w:isLgl/>
      <w:lvlText w:val="%1.%2.%3.%4.%5"/>
      <w:lvlJc w:val="left"/>
      <w:pPr>
        <w:ind w:left="2160" w:hanging="1080"/>
      </w:pPr>
    </w:lvl>
    <w:lvl w:ilvl="5">
      <w:start w:val="1"/>
      <w:numFmt w:val="decimal"/>
      <w:isLgl/>
      <w:lvlText w:val="%1.%2.%3.%4.%5.%6"/>
      <w:lvlJc w:val="left"/>
      <w:pPr>
        <w:ind w:left="2520" w:hanging="1080"/>
      </w:pPr>
    </w:lvl>
    <w:lvl w:ilvl="6">
      <w:start w:val="1"/>
      <w:numFmt w:val="decimal"/>
      <w:isLgl/>
      <w:lvlText w:val="%1.%2.%3.%4.%5.%6.%7"/>
      <w:lvlJc w:val="left"/>
      <w:pPr>
        <w:ind w:left="3240" w:hanging="1440"/>
      </w:pPr>
    </w:lvl>
    <w:lvl w:ilvl="7">
      <w:start w:val="1"/>
      <w:numFmt w:val="decimal"/>
      <w:isLgl/>
      <w:lvlText w:val="%1.%2.%3.%4.%5.%6.%7.%8"/>
      <w:lvlJc w:val="left"/>
      <w:pPr>
        <w:ind w:left="3600" w:hanging="1440"/>
      </w:pPr>
    </w:lvl>
    <w:lvl w:ilvl="8">
      <w:start w:val="1"/>
      <w:numFmt w:val="decimal"/>
      <w:isLgl/>
      <w:lvlText w:val="%1.%2.%3.%4.%5.%6.%7.%8.%9"/>
      <w:lvlJc w:val="left"/>
      <w:pPr>
        <w:ind w:left="4320" w:hanging="1800"/>
      </w:pPr>
    </w:lvl>
  </w:abstractNum>
  <w:abstractNum w:abstractNumId="6" w15:restartNumberingAfterBreak="0">
    <w:nsid w:val="63BC01D3"/>
    <w:multiLevelType w:val="hybridMultilevel"/>
    <w:tmpl w:val="71BEFD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C1A6CEE"/>
    <w:multiLevelType w:val="hybridMultilevel"/>
    <w:tmpl w:val="304403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780B17DE"/>
    <w:multiLevelType w:val="hybridMultilevel"/>
    <w:tmpl w:val="AF20E0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9E"/>
    <w:rsid w:val="000058BD"/>
    <w:rsid w:val="00005E2E"/>
    <w:rsid w:val="0002219C"/>
    <w:rsid w:val="00025E7D"/>
    <w:rsid w:val="0007632C"/>
    <w:rsid w:val="00082D9A"/>
    <w:rsid w:val="000A365A"/>
    <w:rsid w:val="000C1BF0"/>
    <w:rsid w:val="000C4A5F"/>
    <w:rsid w:val="000F6BF6"/>
    <w:rsid w:val="00110652"/>
    <w:rsid w:val="001434EE"/>
    <w:rsid w:val="00150447"/>
    <w:rsid w:val="00171077"/>
    <w:rsid w:val="0017453B"/>
    <w:rsid w:val="00197F72"/>
    <w:rsid w:val="001C6D15"/>
    <w:rsid w:val="001F7803"/>
    <w:rsid w:val="002328D0"/>
    <w:rsid w:val="0023719C"/>
    <w:rsid w:val="00242340"/>
    <w:rsid w:val="00256F79"/>
    <w:rsid w:val="00262848"/>
    <w:rsid w:val="00264AC1"/>
    <w:rsid w:val="002753D8"/>
    <w:rsid w:val="002E3FC2"/>
    <w:rsid w:val="002F150C"/>
    <w:rsid w:val="00322043"/>
    <w:rsid w:val="0032238E"/>
    <w:rsid w:val="0032329E"/>
    <w:rsid w:val="00352F05"/>
    <w:rsid w:val="00380AF7"/>
    <w:rsid w:val="003A2EB9"/>
    <w:rsid w:val="003B4FE5"/>
    <w:rsid w:val="003C20B4"/>
    <w:rsid w:val="003C492E"/>
    <w:rsid w:val="00487D9D"/>
    <w:rsid w:val="004D0B44"/>
    <w:rsid w:val="004D260B"/>
    <w:rsid w:val="004E6FDD"/>
    <w:rsid w:val="004F3829"/>
    <w:rsid w:val="004F696F"/>
    <w:rsid w:val="005409F8"/>
    <w:rsid w:val="00557EE6"/>
    <w:rsid w:val="00560C86"/>
    <w:rsid w:val="00587C21"/>
    <w:rsid w:val="005A2B1E"/>
    <w:rsid w:val="005A7DAC"/>
    <w:rsid w:val="005B42B7"/>
    <w:rsid w:val="005D56DF"/>
    <w:rsid w:val="005D6956"/>
    <w:rsid w:val="005E6C1B"/>
    <w:rsid w:val="00627B17"/>
    <w:rsid w:val="00653026"/>
    <w:rsid w:val="00663259"/>
    <w:rsid w:val="006732D9"/>
    <w:rsid w:val="006F136D"/>
    <w:rsid w:val="00704C45"/>
    <w:rsid w:val="0070685E"/>
    <w:rsid w:val="007260E8"/>
    <w:rsid w:val="007B69E9"/>
    <w:rsid w:val="007C5578"/>
    <w:rsid w:val="007F747D"/>
    <w:rsid w:val="0080411A"/>
    <w:rsid w:val="00832D9C"/>
    <w:rsid w:val="00855DE7"/>
    <w:rsid w:val="00875F9B"/>
    <w:rsid w:val="00887653"/>
    <w:rsid w:val="00895119"/>
    <w:rsid w:val="008A1C58"/>
    <w:rsid w:val="008A38C2"/>
    <w:rsid w:val="008F6A08"/>
    <w:rsid w:val="00903C0E"/>
    <w:rsid w:val="00915A9A"/>
    <w:rsid w:val="00944A00"/>
    <w:rsid w:val="00965FB4"/>
    <w:rsid w:val="009738BF"/>
    <w:rsid w:val="009A0D8F"/>
    <w:rsid w:val="009B4810"/>
    <w:rsid w:val="009E3EF4"/>
    <w:rsid w:val="00A46737"/>
    <w:rsid w:val="00A47346"/>
    <w:rsid w:val="00AE23D0"/>
    <w:rsid w:val="00AF15AF"/>
    <w:rsid w:val="00B02B08"/>
    <w:rsid w:val="00B3377A"/>
    <w:rsid w:val="00B37E30"/>
    <w:rsid w:val="00B55EDD"/>
    <w:rsid w:val="00B5723F"/>
    <w:rsid w:val="00BA3B23"/>
    <w:rsid w:val="00BA4EA5"/>
    <w:rsid w:val="00BB0E54"/>
    <w:rsid w:val="00BC1F1A"/>
    <w:rsid w:val="00BD51D7"/>
    <w:rsid w:val="00BD57D8"/>
    <w:rsid w:val="00C202FD"/>
    <w:rsid w:val="00C36C32"/>
    <w:rsid w:val="00C529F6"/>
    <w:rsid w:val="00C55177"/>
    <w:rsid w:val="00C62144"/>
    <w:rsid w:val="00C74BEB"/>
    <w:rsid w:val="00CB2871"/>
    <w:rsid w:val="00CB6339"/>
    <w:rsid w:val="00CC0945"/>
    <w:rsid w:val="00CD2400"/>
    <w:rsid w:val="00CF55E4"/>
    <w:rsid w:val="00D002E5"/>
    <w:rsid w:val="00D667B1"/>
    <w:rsid w:val="00D94152"/>
    <w:rsid w:val="00DA639E"/>
    <w:rsid w:val="00DC7078"/>
    <w:rsid w:val="00DD1259"/>
    <w:rsid w:val="00E130C7"/>
    <w:rsid w:val="00E507A2"/>
    <w:rsid w:val="00E65C43"/>
    <w:rsid w:val="00E70E11"/>
    <w:rsid w:val="00E80B61"/>
    <w:rsid w:val="00EC0915"/>
    <w:rsid w:val="00EC6960"/>
    <w:rsid w:val="00EE148D"/>
    <w:rsid w:val="00F31A36"/>
    <w:rsid w:val="00F45C40"/>
    <w:rsid w:val="00F71993"/>
    <w:rsid w:val="00FB7E5E"/>
    <w:rsid w:val="00FC0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9981"/>
  <w15:chartTrackingRefBased/>
  <w15:docId w15:val="{C46A79BE-89EE-4719-A953-99E1395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329E"/>
    <w:pPr>
      <w:spacing w:after="0" w:line="240" w:lineRule="auto"/>
      <w:ind w:left="720"/>
    </w:pPr>
    <w:rPr>
      <w:rFonts w:ascii="Calibri" w:eastAsia="Calibri" w:hAnsi="Calibri" w:cs="Calibri"/>
    </w:rPr>
  </w:style>
  <w:style w:type="paragraph" w:customStyle="1" w:styleId="Finding">
    <w:name w:val="Finding"/>
    <w:basedOn w:val="Normal"/>
    <w:qFormat/>
    <w:rsid w:val="00663259"/>
    <w:pPr>
      <w:pBdr>
        <w:top w:val="single" w:sz="4" w:space="1" w:color="auto"/>
        <w:left w:val="single" w:sz="4" w:space="4" w:color="auto"/>
        <w:bottom w:val="single" w:sz="4" w:space="1" w:color="auto"/>
        <w:right w:val="single" w:sz="4" w:space="4" w:color="auto"/>
      </w:pBdr>
      <w:shd w:val="clear" w:color="auto" w:fill="D9D9D9" w:themeFill="background1" w:themeFillShade="D9"/>
      <w:spacing w:after="200" w:line="276" w:lineRule="auto"/>
      <w:jc w:val="both"/>
    </w:pPr>
    <w:rPr>
      <w:rFonts w:ascii="Calibri" w:hAnsi="Calibri" w:cstheme="maj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81225">
      <w:bodyDiv w:val="1"/>
      <w:marLeft w:val="0"/>
      <w:marRight w:val="0"/>
      <w:marTop w:val="0"/>
      <w:marBottom w:val="0"/>
      <w:divBdr>
        <w:top w:val="none" w:sz="0" w:space="0" w:color="auto"/>
        <w:left w:val="none" w:sz="0" w:space="0" w:color="auto"/>
        <w:bottom w:val="none" w:sz="0" w:space="0" w:color="auto"/>
        <w:right w:val="none" w:sz="0" w:space="0" w:color="auto"/>
      </w:divBdr>
      <w:divsChild>
        <w:div w:id="1056202530">
          <w:marLeft w:val="0"/>
          <w:marRight w:val="0"/>
          <w:marTop w:val="0"/>
          <w:marBottom w:val="0"/>
          <w:divBdr>
            <w:top w:val="none" w:sz="0" w:space="0" w:color="auto"/>
            <w:left w:val="none" w:sz="0" w:space="0" w:color="auto"/>
            <w:bottom w:val="none" w:sz="0" w:space="0" w:color="auto"/>
            <w:right w:val="none" w:sz="0" w:space="0" w:color="auto"/>
          </w:divBdr>
          <w:divsChild>
            <w:div w:id="1593318076">
              <w:marLeft w:val="0"/>
              <w:marRight w:val="60"/>
              <w:marTop w:val="0"/>
              <w:marBottom w:val="0"/>
              <w:divBdr>
                <w:top w:val="none" w:sz="0" w:space="0" w:color="auto"/>
                <w:left w:val="none" w:sz="0" w:space="0" w:color="auto"/>
                <w:bottom w:val="none" w:sz="0" w:space="0" w:color="auto"/>
                <w:right w:val="none" w:sz="0" w:space="0" w:color="auto"/>
              </w:divBdr>
              <w:divsChild>
                <w:div w:id="366609637">
                  <w:marLeft w:val="0"/>
                  <w:marRight w:val="0"/>
                  <w:marTop w:val="0"/>
                  <w:marBottom w:val="120"/>
                  <w:divBdr>
                    <w:top w:val="single" w:sz="6" w:space="0" w:color="C0C0C0"/>
                    <w:left w:val="single" w:sz="6" w:space="0" w:color="D9D9D9"/>
                    <w:bottom w:val="single" w:sz="6" w:space="0" w:color="D9D9D9"/>
                    <w:right w:val="single" w:sz="6" w:space="0" w:color="D9D9D9"/>
                  </w:divBdr>
                  <w:divsChild>
                    <w:div w:id="2138258267">
                      <w:marLeft w:val="0"/>
                      <w:marRight w:val="0"/>
                      <w:marTop w:val="0"/>
                      <w:marBottom w:val="0"/>
                      <w:divBdr>
                        <w:top w:val="none" w:sz="0" w:space="0" w:color="auto"/>
                        <w:left w:val="none" w:sz="0" w:space="0" w:color="auto"/>
                        <w:bottom w:val="none" w:sz="0" w:space="0" w:color="auto"/>
                        <w:right w:val="none" w:sz="0" w:space="0" w:color="auto"/>
                      </w:divBdr>
                    </w:div>
                    <w:div w:id="4841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0796">
          <w:marLeft w:val="0"/>
          <w:marRight w:val="0"/>
          <w:marTop w:val="0"/>
          <w:marBottom w:val="0"/>
          <w:divBdr>
            <w:top w:val="none" w:sz="0" w:space="0" w:color="auto"/>
            <w:left w:val="none" w:sz="0" w:space="0" w:color="auto"/>
            <w:bottom w:val="none" w:sz="0" w:space="0" w:color="auto"/>
            <w:right w:val="none" w:sz="0" w:space="0" w:color="auto"/>
          </w:divBdr>
          <w:divsChild>
            <w:div w:id="302976572">
              <w:marLeft w:val="60"/>
              <w:marRight w:val="0"/>
              <w:marTop w:val="0"/>
              <w:marBottom w:val="0"/>
              <w:divBdr>
                <w:top w:val="none" w:sz="0" w:space="0" w:color="auto"/>
                <w:left w:val="none" w:sz="0" w:space="0" w:color="auto"/>
                <w:bottom w:val="none" w:sz="0" w:space="0" w:color="auto"/>
                <w:right w:val="none" w:sz="0" w:space="0" w:color="auto"/>
              </w:divBdr>
              <w:divsChild>
                <w:div w:id="668487195">
                  <w:marLeft w:val="0"/>
                  <w:marRight w:val="0"/>
                  <w:marTop w:val="0"/>
                  <w:marBottom w:val="0"/>
                  <w:divBdr>
                    <w:top w:val="none" w:sz="0" w:space="0" w:color="auto"/>
                    <w:left w:val="none" w:sz="0" w:space="0" w:color="auto"/>
                    <w:bottom w:val="none" w:sz="0" w:space="0" w:color="auto"/>
                    <w:right w:val="none" w:sz="0" w:space="0" w:color="auto"/>
                  </w:divBdr>
                  <w:divsChild>
                    <w:div w:id="247465018">
                      <w:marLeft w:val="0"/>
                      <w:marRight w:val="0"/>
                      <w:marTop w:val="0"/>
                      <w:marBottom w:val="120"/>
                      <w:divBdr>
                        <w:top w:val="single" w:sz="6" w:space="0" w:color="F5F5F5"/>
                        <w:left w:val="single" w:sz="6" w:space="0" w:color="F5F5F5"/>
                        <w:bottom w:val="single" w:sz="6" w:space="0" w:color="F5F5F5"/>
                        <w:right w:val="single" w:sz="6" w:space="0" w:color="F5F5F5"/>
                      </w:divBdr>
                      <w:divsChild>
                        <w:div w:id="303780133">
                          <w:marLeft w:val="0"/>
                          <w:marRight w:val="0"/>
                          <w:marTop w:val="0"/>
                          <w:marBottom w:val="0"/>
                          <w:divBdr>
                            <w:top w:val="none" w:sz="0" w:space="0" w:color="auto"/>
                            <w:left w:val="none" w:sz="0" w:space="0" w:color="auto"/>
                            <w:bottom w:val="none" w:sz="0" w:space="0" w:color="auto"/>
                            <w:right w:val="none" w:sz="0" w:space="0" w:color="auto"/>
                          </w:divBdr>
                          <w:divsChild>
                            <w:div w:id="12442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44FC9-304C-4FEA-B623-F8F486ACB6EF}"/>
</file>

<file path=customXml/itemProps2.xml><?xml version="1.0" encoding="utf-8"?>
<ds:datastoreItem xmlns:ds="http://schemas.openxmlformats.org/officeDocument/2006/customXml" ds:itemID="{93B222D3-9804-44D7-8D26-76AB035B1BB8}"/>
</file>

<file path=customXml/itemProps3.xml><?xml version="1.0" encoding="utf-8"?>
<ds:datastoreItem xmlns:ds="http://schemas.openxmlformats.org/officeDocument/2006/customXml" ds:itemID="{0CE92045-F8CE-4A29-905F-6A68B7C5D26C}"/>
</file>

<file path=docProps/app.xml><?xml version="1.0" encoding="utf-8"?>
<Properties xmlns="http://schemas.openxmlformats.org/officeDocument/2006/extended-properties" xmlns:vt="http://schemas.openxmlformats.org/officeDocument/2006/docPropsVTypes">
  <Template>Normal.dotm</Template>
  <TotalTime>202</TotalTime>
  <Pages>2</Pages>
  <Words>1022</Words>
  <Characters>5521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2017-08-18T18:45:00Z</dcterms:created>
  <dcterms:modified xsi:type="dcterms:W3CDTF">2017-08-18T22:35:00Z</dcterms:modified>
</cp:coreProperties>
</file>